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宋体" w:hAnsi="宋体" w:eastAsia="宋体" w:cstheme="minorBidi"/>
          <w:kern w:val="2"/>
          <w:sz w:val="28"/>
          <w:szCs w:val="28"/>
          <w:lang w:val="en-US" w:eastAsia="zh-CN" w:bidi="ar-SA"/>
        </w:rPr>
        <w:id w:val="147470961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b/>
          <w:kern w:val="44"/>
          <w:sz w:val="28"/>
          <w:szCs w:val="28"/>
          <w:lang w:val="en-US" w:eastAsia="zh-CN" w:bidi="ar-SA"/>
        </w:rPr>
      </w:sdtEndPr>
      <w:sdtContent>
        <w:p>
          <w:pPr>
            <w:pStyle w:val="2"/>
            <w:keepNext/>
            <w:keepLines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jc w:val="center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bookmarkStart w:id="0" w:name="_Toc24353"/>
          <w:r>
            <w:rPr>
              <w:rFonts w:hint="eastAsia" w:ascii="宋体" w:hAnsi="宋体" w:eastAsia="宋体" w:cs="宋体"/>
              <w:sz w:val="28"/>
              <w:szCs w:val="28"/>
            </w:rPr>
            <w:t>目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 xml:space="preserve"> </w:t>
          </w:r>
          <w:r>
            <w:rPr>
              <w:rFonts w:hint="eastAsia" w:ascii="宋体" w:hAnsi="宋体" w:eastAsia="宋体" w:cs="宋体"/>
              <w:sz w:val="28"/>
              <w:szCs w:val="28"/>
            </w:rPr>
            <w:t>录</w:t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_Toc25641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面单系统前台使用说明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_Toc25641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_Toc3061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一、 登录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_Toc3061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_Toc21865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1、 进入网页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_Toc21865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_Toc21114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2、 注册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_Toc21114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_Toc15150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3、 登录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_Toc15150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_Toc23753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4、 进入系统首页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_Toc23753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default" w:ascii="宋体" w:hAnsi="宋体" w:eastAsia="宋体" w:cs="宋体"/>
              <w:sz w:val="28"/>
              <w:szCs w:val="28"/>
              <w:lang w:val="en-GB" w:eastAsia="zh-CN"/>
            </w:rPr>
          </w:pP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5、充值</w:t>
          </w:r>
          <w:r>
            <w:rPr>
              <w:rFonts w:hint="default" w:ascii="宋体" w:hAnsi="宋体" w:cs="宋体"/>
              <w:sz w:val="28"/>
              <w:szCs w:val="28"/>
              <w:lang w:val="en-GB" w:eastAsia="zh-CN"/>
            </w:rPr>
            <w:t>...................................................</w:t>
          </w:r>
          <w:bookmarkStart w:id="62" w:name="_GoBack"/>
          <w:bookmarkEnd w:id="62"/>
          <w:r>
            <w:rPr>
              <w:rFonts w:hint="default" w:ascii="宋体" w:hAnsi="宋体" w:cs="宋体"/>
              <w:sz w:val="28"/>
              <w:szCs w:val="28"/>
              <w:lang w:val="en-GB" w:eastAsia="zh-CN"/>
            </w:rPr>
            <w:t>.3</w:t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_Toc12930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二、 拉单（两种方式）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_Toc12930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_Toc22700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1、 单个运单拉单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_Toc22700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_Toc11102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2、 批量拉单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_Toc11102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8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_Toc29223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三、 FBA地址添加申请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_Toc29223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_Toc30179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四、 帐户管理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_Toc30179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_Toc25688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1、 账户信息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_Toc25688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_Toc26158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2、 财务管理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_Toc26158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14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_Toc2683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3、 寄件人管理、收件人管理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_Toc2683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14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_Toc11222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五、 FBA地址薄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_Toc11222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14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_Toc14831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六、 定价表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_Toc14831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14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_Toc8794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七、 地区分类表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_Toc8794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15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_Toc13670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附件1：关于标签的说明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_Toc13670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17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_Toc18955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一、 标签粘贴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_Toc18955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17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12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instrText xml:space="preserve"> HYPERLINK \l _Toc19120 </w:instrTex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二、 标签制作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_Toc19120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17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  <w:p>
          <w:pPr>
            <w:pStyle w:val="2"/>
            <w:keepNext/>
            <w:keepLines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80" w:lineRule="exact"/>
            <w:textAlignment w:val="auto"/>
            <w:outlineLvl w:val="9"/>
            <w:rPr>
              <w:rFonts w:hint="eastAsia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fldChar w:fldCharType="end"/>
          </w:r>
        </w:p>
      </w:sdtContent>
    </w:sdt>
    <w:p>
      <w:pPr>
        <w:rPr>
          <w:rFonts w:hint="eastAsia"/>
          <w:sz w:val="28"/>
          <w:szCs w:val="28"/>
          <w:lang w:val="en-US" w:eastAsia="zh-CN"/>
        </w:rPr>
      </w:pPr>
    </w:p>
    <w:bookmarkEnd w:id="0"/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8"/>
          <w:szCs w:val="28"/>
          <w:lang w:val="en-US" w:eastAsia="zh-CN"/>
        </w:rPr>
      </w:pPr>
      <w:bookmarkStart w:id="1" w:name="_Toc14484"/>
      <w:bookmarkStart w:id="2" w:name="_Toc3061"/>
      <w:bookmarkStart w:id="3" w:name="_Toc20063"/>
      <w:r>
        <w:rPr>
          <w:rFonts w:hint="eastAsia"/>
          <w:sz w:val="28"/>
          <w:szCs w:val="28"/>
          <w:lang w:val="en-US" w:eastAsia="zh-CN"/>
        </w:rPr>
        <w:t>登录</w:t>
      </w:r>
      <w:bookmarkEnd w:id="1"/>
      <w:bookmarkEnd w:id="2"/>
      <w:bookmarkEnd w:id="3"/>
    </w:p>
    <w:p>
      <w:pPr>
        <w:pStyle w:val="2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1"/>
        <w:rPr>
          <w:rFonts w:hint="eastAsia"/>
          <w:sz w:val="28"/>
          <w:szCs w:val="28"/>
          <w:lang w:val="en-US" w:eastAsia="zh-CN"/>
        </w:rPr>
      </w:pPr>
      <w:bookmarkStart w:id="4" w:name="_Toc7354"/>
      <w:bookmarkStart w:id="5" w:name="_Toc11299"/>
      <w:bookmarkStart w:id="6" w:name="_Toc21865"/>
      <w:r>
        <w:rPr>
          <w:rFonts w:hint="eastAsia"/>
          <w:sz w:val="28"/>
          <w:szCs w:val="28"/>
          <w:lang w:val="en-US" w:eastAsia="zh-CN"/>
        </w:rPr>
        <w:t>进入网页</w:t>
      </w:r>
      <w:bookmarkEnd w:id="4"/>
      <w:bookmarkEnd w:id="5"/>
      <w:bookmarkEnd w:id="6"/>
    </w:p>
    <w:p>
      <w:pPr>
        <w:bidi w:val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fldChar w:fldCharType="begin"/>
      </w:r>
      <w:r>
        <w:rPr>
          <w:rFonts w:hint="eastAsia"/>
          <w:sz w:val="28"/>
          <w:szCs w:val="28"/>
          <w:lang w:val="en-US" w:eastAsia="zh-CN"/>
        </w:rPr>
        <w:instrText xml:space="preserve"> HYPERLINK "http://md.myfba.eu/index/login/login.html" </w:instrText>
      </w:r>
      <w:r>
        <w:rPr>
          <w:rFonts w:hint="eastAsia"/>
          <w:sz w:val="28"/>
          <w:szCs w:val="28"/>
          <w:lang w:val="en-US" w:eastAsia="zh-CN"/>
        </w:rPr>
        <w:fldChar w:fldCharType="separate"/>
      </w:r>
      <w:r>
        <w:rPr>
          <w:rFonts w:hint="eastAsia"/>
          <w:sz w:val="28"/>
          <w:szCs w:val="28"/>
          <w:lang w:val="en-US" w:eastAsia="zh-CN"/>
        </w:rPr>
        <w:t>http://md.myfba.eu/index/login/login.html</w:t>
      </w:r>
      <w:r>
        <w:rPr>
          <w:rFonts w:hint="eastAsia"/>
          <w:sz w:val="28"/>
          <w:szCs w:val="28"/>
          <w:lang w:val="en-US" w:eastAsia="zh-CN"/>
        </w:rPr>
        <w:fldChar w:fldCharType="end"/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3264535" cy="2171700"/>
            <wp:effectExtent l="0" t="0" r="12065" b="0"/>
            <wp:docPr id="1" name="图片 1" descr="043bf25addbafca0f12d808765117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43bf25addbafca0f12d8087651178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453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outlineLvl w:val="1"/>
        <w:rPr>
          <w:rFonts w:hint="default"/>
          <w:sz w:val="28"/>
          <w:szCs w:val="28"/>
          <w:lang w:val="en-US" w:eastAsia="zh-CN"/>
        </w:rPr>
      </w:pPr>
      <w:bookmarkStart w:id="7" w:name="_Toc9633"/>
      <w:bookmarkStart w:id="8" w:name="_Toc21114"/>
      <w:bookmarkStart w:id="9" w:name="_Toc22359"/>
      <w:r>
        <w:rPr>
          <w:rFonts w:hint="eastAsia"/>
          <w:sz w:val="28"/>
          <w:szCs w:val="28"/>
          <w:lang w:val="en-US" w:eastAsia="zh-CN"/>
        </w:rPr>
        <w:t>注册</w:t>
      </w:r>
      <w:bookmarkEnd w:id="7"/>
      <w:bookmarkEnd w:id="8"/>
      <w:bookmarkEnd w:id="9"/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新用户登录前需要点击右下角的“注册”，依次填写“昵称（公司或个人简称，可不填）”“登录邮箱”“手机号”“登录密码”“确认密码”“检验码”——“确定注册”。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新用户注册完成后，点击右下角“登录”，进入登录页面（如图1）。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2201545" cy="2185035"/>
            <wp:effectExtent l="0" t="0" r="8255" b="12065"/>
            <wp:docPr id="2" name="图片 2" descr="ce750470c720156c706bf57c9634e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e750470c720156c706bf57c9634e3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01545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outlineLvl w:val="1"/>
        <w:rPr>
          <w:rFonts w:hint="default"/>
          <w:sz w:val="28"/>
          <w:szCs w:val="28"/>
          <w:lang w:val="en-US" w:eastAsia="zh-CN"/>
        </w:rPr>
      </w:pPr>
      <w:bookmarkStart w:id="10" w:name="_Toc29785"/>
      <w:bookmarkStart w:id="11" w:name="_Toc15150"/>
      <w:bookmarkStart w:id="12" w:name="_Toc2211"/>
      <w:r>
        <w:rPr>
          <w:rFonts w:hint="eastAsia"/>
          <w:sz w:val="28"/>
          <w:szCs w:val="28"/>
          <w:lang w:val="en-US" w:eastAsia="zh-CN"/>
        </w:rPr>
        <w:t>登录</w:t>
      </w:r>
      <w:bookmarkEnd w:id="10"/>
      <w:bookmarkEnd w:id="11"/>
      <w:bookmarkEnd w:id="12"/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输入注册时的“邮箱”及“密码”，点击“登录”</w:t>
      </w:r>
    </w:p>
    <w:p>
      <w:pPr>
        <w:pStyle w:val="2"/>
        <w:numPr>
          <w:ilvl w:val="0"/>
          <w:numId w:val="2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13" w:name="_Toc6853"/>
      <w:bookmarkStart w:id="14" w:name="_Toc28556"/>
      <w:bookmarkStart w:id="15" w:name="_Toc23753"/>
      <w:r>
        <w:rPr>
          <w:rFonts w:hint="eastAsia"/>
          <w:sz w:val="28"/>
          <w:szCs w:val="28"/>
          <w:lang w:val="en-US" w:eastAsia="zh-CN"/>
        </w:rPr>
        <w:t>进入系统首页</w:t>
      </w:r>
      <w:bookmarkEnd w:id="13"/>
      <w:bookmarkEnd w:id="14"/>
      <w:bookmarkEnd w:id="15"/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1135" cy="1377315"/>
            <wp:effectExtent l="0" t="0" r="12065" b="6985"/>
            <wp:docPr id="3" name="图片 3" descr="bd16cf0b07e907468602c9ee2261e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d16cf0b07e907468602c9ee2261ee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充值</w:t>
      </w:r>
    </w:p>
    <w:p>
      <w:pPr>
        <w:numPr>
          <w:numId w:val="0"/>
        </w:numPr>
        <w:ind w:leftChars="0"/>
        <w:rPr>
          <w:rFonts w:hint="default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1135" cy="2836545"/>
            <wp:effectExtent l="0" t="0" r="5715" b="1905"/>
            <wp:docPr id="52" name="图片 52" descr="de526d9de45ae433cf04d7f3f972a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de526d9de45ae433cf04d7f3f972ac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rPr>
          <w:rFonts w:hint="eastAsia"/>
          <w:sz w:val="28"/>
          <w:szCs w:val="28"/>
          <w:lang w:val="en-US" w:eastAsia="zh-CN"/>
        </w:rPr>
      </w:pPr>
      <w:bookmarkStart w:id="16" w:name="_Toc12930"/>
      <w:bookmarkStart w:id="17" w:name="_Toc15632"/>
      <w:bookmarkStart w:id="18" w:name="_Toc22014"/>
      <w:r>
        <w:rPr>
          <w:rFonts w:hint="eastAsia"/>
          <w:sz w:val="28"/>
          <w:szCs w:val="28"/>
          <w:lang w:val="en-US" w:eastAsia="zh-CN"/>
        </w:rPr>
        <w:t>拉单（两种方式）</w:t>
      </w:r>
      <w:bookmarkEnd w:id="16"/>
      <w:bookmarkEnd w:id="17"/>
      <w:bookmarkEnd w:id="18"/>
    </w:p>
    <w:p>
      <w:pPr>
        <w:pStyle w:val="2"/>
        <w:numPr>
          <w:ilvl w:val="0"/>
          <w:numId w:val="3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19" w:name="_Toc22700"/>
      <w:bookmarkStart w:id="20" w:name="_Toc30619"/>
      <w:bookmarkStart w:id="21" w:name="_Toc25698"/>
      <w:r>
        <w:rPr>
          <w:rFonts w:hint="eastAsia"/>
          <w:sz w:val="28"/>
          <w:szCs w:val="28"/>
          <w:lang w:val="en-US" w:eastAsia="zh-CN"/>
        </w:rPr>
        <w:t>单个运单拉单</w:t>
      </w:r>
      <w:bookmarkEnd w:id="19"/>
      <w:bookmarkEnd w:id="20"/>
      <w:bookmarkEnd w:id="21"/>
    </w:p>
    <w:p>
      <w:pPr>
        <w:bidi w:val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我的包裹单——新建运单</w:t>
      </w:r>
    </w:p>
    <w:p>
      <w:pPr>
        <w:numPr>
          <w:ilvl w:val="0"/>
          <w:numId w:val="4"/>
        </w:numPr>
        <w:bidi w:val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使用渠道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说明：选择 DHL全球寄 。此项必选。</w:t>
      </w:r>
    </w:p>
    <w:p>
      <w:pPr>
        <w:numPr>
          <w:ilvl w:val="0"/>
          <w:numId w:val="0"/>
        </w:num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3674110" cy="1755775"/>
            <wp:effectExtent l="0" t="0" r="8890" b="9525"/>
            <wp:docPr id="5" name="图片 5" descr="ceed3b6e04098d648e09979866daf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eed3b6e04098d648e09979866daf3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7411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依次详细准确地填写寄件人信息（如上图）。</w:t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依次详细准确地填写收件人信息。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请注意：</w:t>
      </w:r>
      <w:r>
        <w:rPr>
          <w:rFonts w:ascii="宋体" w:hAnsi="宋体" w:eastAsia="宋体" w:cs="宋体"/>
          <w:sz w:val="28"/>
          <w:szCs w:val="28"/>
          <w:highlight w:val="yellow"/>
        </w:rPr>
        <w:t>如果您是要寄往fba地址，请务必从 “FBA 地址薄”选择</w:t>
      </w:r>
      <w: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</w:pPr>
      <w:r>
        <w:rPr>
          <w:rFonts w:ascii="宋体" w:hAnsi="宋体" w:eastAsia="宋体" w:cs="宋体"/>
          <w:sz w:val="28"/>
          <w:szCs w:val="28"/>
          <w:highlight w:val="yellow"/>
        </w:rPr>
        <w:t>不要手动录入,</w:t>
      </w: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因为</w:t>
      </w:r>
      <w:r>
        <w:rPr>
          <w:rFonts w:ascii="宋体" w:hAnsi="宋体" w:eastAsia="宋体" w:cs="宋体"/>
          <w:sz w:val="28"/>
          <w:szCs w:val="28"/>
          <w:highlight w:val="yellow"/>
        </w:rPr>
        <w:t>如果系统无法判断</w:t>
      </w: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您录入的</w:t>
      </w:r>
      <w:r>
        <w:rPr>
          <w:rFonts w:ascii="宋体" w:hAnsi="宋体" w:eastAsia="宋体" w:cs="宋体"/>
          <w:sz w:val="28"/>
          <w:szCs w:val="28"/>
          <w:highlight w:val="yellow"/>
        </w:rPr>
        <w:t>为fba地址,将产生</w:t>
      </w: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额外</w:t>
      </w:r>
      <w:r>
        <w:rPr>
          <w:rFonts w:ascii="宋体" w:hAnsi="宋体" w:eastAsia="宋体" w:cs="宋体"/>
          <w:sz w:val="28"/>
          <w:szCs w:val="28"/>
          <w:highlight w:val="yellow"/>
        </w:rPr>
        <w:t>费用</w:t>
      </w:r>
      <w: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</w:pPr>
      <w:r>
        <w:rPr>
          <w:rFonts w:ascii="宋体" w:hAnsi="宋体" w:eastAsia="宋体" w:cs="宋体"/>
          <w:sz w:val="28"/>
          <w:szCs w:val="28"/>
          <w:highlight w:val="yellow"/>
        </w:rPr>
        <w:t>若没有您需要的fba地址,请</w:t>
      </w: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联系工作人员，核对地址，或到首页</w:t>
      </w:r>
      <w:r>
        <w:rPr>
          <w:rFonts w:ascii="宋体" w:hAnsi="宋体" w:eastAsia="宋体" w:cs="宋体"/>
          <w:sz w:val="28"/>
          <w:szCs w:val="28"/>
          <w:highlight w:val="yellow"/>
        </w:rPr>
        <w:t>提交“FBA地址添加申请”</w:t>
      </w:r>
      <w:r>
        <w:rPr>
          <w:rFonts w:hint="eastAsia" w:ascii="宋体" w:hAnsi="宋体" w:eastAsia="宋体" w:cs="宋体"/>
          <w:sz w:val="28"/>
          <w:szCs w:val="28"/>
          <w:highlight w:val="yellow"/>
          <w:lang w:val="en-US" w:eastAsia="zh-CN"/>
        </w:rPr>
        <w:t>工作人员确认后，可使用新地址</w:t>
      </w:r>
      <w:r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  <w:t>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drawing>
          <wp:inline distT="0" distB="0" distL="114300" distR="114300">
            <wp:extent cx="4356100" cy="3498850"/>
            <wp:effectExtent l="0" t="0" r="0" b="6350"/>
            <wp:docPr id="6" name="图片 6" descr="fe6272e848325b08c14ea84bc9633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e6272e848325b08c14ea84bc9633f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610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填写内件信息。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说明：德国境内不需要填写此项，如渠道选择“货到付款”或寄到国外，此项必填。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1770" cy="787400"/>
            <wp:effectExtent l="0" t="0" r="11430" b="0"/>
            <wp:docPr id="7" name="图片 7" descr="7109eed0e80ff506a92a8251b0b4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109eed0e80ff506a92a8251b0b484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1、只要是发往非欧盟国，要求填写内件信息用于报关，否则无法出单。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2、关税由收件人办理，我们系统不能预付关税。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3、非欧盟国关税标准及政策，以每个国家规定为准。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4、欧盟国家一般是20欧元以内免税，超出部分缴税。</w:t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出单数量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说明：请根据相同重量（不超过30KG)，选择出单的数量。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请注意：</w:t>
      </w:r>
    </w:p>
    <w:p>
      <w:pPr>
        <w:numPr>
          <w:ilvl w:val="0"/>
          <w:numId w:val="5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有小数的重量需全部往前入一位，如5.1和5.6，请填写6KG，出2单。</w:t>
      </w:r>
    </w:p>
    <w:p>
      <w:pPr>
        <w:numPr>
          <w:ilvl w:val="0"/>
          <w:numId w:val="5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有不同数量的重量时，请点击“添加一项”。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9865" cy="969645"/>
            <wp:effectExtent l="0" t="0" r="635" b="8255"/>
            <wp:docPr id="8" name="图片 8" descr="ff823a9d4721ac169fe6cf84ae508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f823a9d4721ac169fe6cf84ae508ef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额外收费项目</w:t>
      </w:r>
    </w:p>
    <w:p>
      <w:pPr>
        <w:numPr>
          <w:ilvl w:val="0"/>
          <w:numId w:val="6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强制出单。</w:t>
      </w:r>
    </w:p>
    <w:p>
      <w:pPr>
        <w:numPr>
          <w:ilvl w:val="0"/>
          <w:numId w:val="0"/>
        </w:numPr>
        <w:rPr>
          <w:rFonts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说明：</w:t>
      </w:r>
      <w:r>
        <w:rPr>
          <w:rFonts w:ascii="宋体" w:hAnsi="宋体" w:eastAsia="宋体" w:cs="宋体"/>
          <w:sz w:val="28"/>
          <w:szCs w:val="28"/>
        </w:rPr>
        <w:t>DHL会严格检查收寄件地址信息是否全面并正确，并以此决定是否获取单号。</w:t>
      </w:r>
    </w:p>
    <w:p>
      <w:pPr>
        <w:numPr>
          <w:ilvl w:val="0"/>
          <w:numId w:val="0"/>
        </w:numPr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如果您确定地址准确无误，使用此服务将跳过严格检查，直接出单。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但</w:t>
      </w:r>
      <w:r>
        <w:rPr>
          <w:rFonts w:ascii="宋体" w:hAnsi="宋体" w:eastAsia="宋体" w:cs="宋体"/>
          <w:sz w:val="28"/>
          <w:szCs w:val="28"/>
        </w:rPr>
        <w:t>后期因地址不全或不完全正确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ascii="宋体" w:hAnsi="宋体" w:eastAsia="宋体" w:cs="宋体"/>
          <w:sz w:val="28"/>
          <w:szCs w:val="28"/>
        </w:rPr>
        <w:t>导致DHL不能正常编码，将会需要额外补费。</w:t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超体积及异形包裹。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说明：超</w:t>
      </w:r>
      <w:r>
        <w:rPr>
          <w:rFonts w:hint="default"/>
          <w:sz w:val="28"/>
          <w:szCs w:val="28"/>
          <w:lang w:val="en-US" w:eastAsia="zh-CN"/>
        </w:rPr>
        <w:t>体积</w:t>
      </w:r>
      <w:r>
        <w:rPr>
          <w:rFonts w:hint="eastAsia"/>
          <w:sz w:val="28"/>
          <w:szCs w:val="28"/>
          <w:lang w:val="en-US" w:eastAsia="zh-CN"/>
        </w:rPr>
        <w:t>是指</w:t>
      </w:r>
      <w:r>
        <w:rPr>
          <w:rFonts w:hint="default"/>
          <w:sz w:val="28"/>
          <w:szCs w:val="28"/>
          <w:lang w:val="en-US" w:eastAsia="zh-CN"/>
        </w:rPr>
        <w:t>超过120*60*60</w:t>
      </w:r>
      <w:r>
        <w:rPr>
          <w:rFonts w:hint="eastAsia"/>
          <w:sz w:val="28"/>
          <w:szCs w:val="28"/>
          <w:lang w:val="en-US" w:eastAsia="zh-CN"/>
        </w:rPr>
        <w:t>cm</w:t>
      </w:r>
      <w:r>
        <w:rPr>
          <w:rFonts w:hint="default"/>
          <w:sz w:val="28"/>
          <w:szCs w:val="28"/>
          <w:lang w:val="en-US" w:eastAsia="zh-CN"/>
        </w:rPr>
        <w:t>的长方体包裹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异形是</w:t>
      </w:r>
      <w:r>
        <w:rPr>
          <w:rFonts w:hint="eastAsia"/>
          <w:sz w:val="28"/>
          <w:szCs w:val="28"/>
          <w:lang w:val="en-US" w:eastAsia="zh-CN"/>
        </w:rPr>
        <w:t>指</w:t>
      </w:r>
      <w:r>
        <w:rPr>
          <w:rFonts w:hint="default"/>
          <w:sz w:val="28"/>
          <w:szCs w:val="28"/>
          <w:lang w:val="en-US" w:eastAsia="zh-CN"/>
        </w:rPr>
        <w:t>打包后</w:t>
      </w:r>
      <w:r>
        <w:rPr>
          <w:rFonts w:hint="eastAsia"/>
          <w:sz w:val="28"/>
          <w:szCs w:val="28"/>
          <w:lang w:val="en-US" w:eastAsia="zh-CN"/>
        </w:rPr>
        <w:t>，不是</w:t>
      </w:r>
      <w:r>
        <w:rPr>
          <w:rFonts w:hint="default"/>
          <w:sz w:val="28"/>
          <w:szCs w:val="28"/>
          <w:lang w:val="en-US" w:eastAsia="zh-CN"/>
        </w:rPr>
        <w:t>长方体包裹</w:t>
      </w:r>
      <w:r>
        <w:rPr>
          <w:rFonts w:hint="eastAsia"/>
          <w:sz w:val="28"/>
          <w:szCs w:val="28"/>
          <w:lang w:val="en-US" w:eastAsia="zh-CN"/>
        </w:rPr>
        <w:t>，如正方形、圆柱形、或有部分突出部分等。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详见附件有正确及错误的图案说明。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保险2500欧元（德国境内单有效）。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说明：正常下单默认包含500欧保险，如产品价值高，可单独购买高额保险。</w:t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保险25000欧元（德国境内单有效）。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说明：正常下单默认包含500欧保险，如产品价值高，可单独购买高额保险。</w:t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本人签收（德国境内单有效）。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说明：默认货品放在快递柜或驿站，如必须要收件人收到签名，可选择此项服务。</w:t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货到付款（德国境内单有效）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说明：收件人需要支付内件指定的金额，内件信息的价值之和是货到付款的金额，需要寄件人在“帐户信息”中设置好收款帐号（后面也会说明）。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如收件人拒收，此费用不退还。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7325" cy="1772285"/>
            <wp:effectExtent l="0" t="0" r="3175" b="5715"/>
            <wp:docPr id="9" name="图片 9" descr="14e4878e26d54df4d0f22b12f5a94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4e4878e26d54df4d0f22b12f5a941b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回邮单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客户</w:t>
      </w:r>
      <w:r>
        <w:rPr>
          <w:rFonts w:hint="eastAsia"/>
          <w:sz w:val="28"/>
          <w:szCs w:val="28"/>
          <w:lang w:val="en-US" w:eastAsia="zh-CN"/>
        </w:rPr>
        <w:t>告知我们，</w:t>
      </w:r>
      <w:r>
        <w:rPr>
          <w:rFonts w:hint="default"/>
          <w:sz w:val="28"/>
          <w:szCs w:val="28"/>
          <w:lang w:val="en-US" w:eastAsia="zh-CN"/>
        </w:rPr>
        <w:t>开通回邮功能以后，单个提单页面会出现 回邮单 的选项</w:t>
      </w:r>
      <w:r>
        <w:rPr>
          <w:rFonts w:hint="eastAsia"/>
          <w:sz w:val="28"/>
          <w:szCs w:val="28"/>
          <w:lang w:val="en-US" w:eastAsia="zh-CN"/>
        </w:rPr>
        <w:t>，选中之后会自动生成回邮单 。</w:t>
      </w:r>
    </w:p>
    <w:p>
      <w:pPr>
        <w:numPr>
          <w:ilvl w:val="0"/>
          <w:numId w:val="0"/>
        </w:numP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页面提单勾选了</w:t>
      </w:r>
      <w:r>
        <w:rPr>
          <w:rFonts w:hint="eastAsia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回邮单</w:t>
      </w:r>
      <w:r>
        <w:rPr>
          <w:rFonts w:hint="eastAsia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”，</w:t>
      </w:r>
      <w: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就会生成两个订单信息</w:t>
      </w:r>
      <w:r>
        <w:rPr>
          <w:rFonts w:hint="eastAsia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一个快递单</w:t>
      </w:r>
      <w:r>
        <w:rPr>
          <w:rFonts w:hint="eastAsia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Calibri" w:hAnsi="Calibri" w:eastAsia="宋体" w:cs="Calibri"/>
          <w:b w:val="0"/>
          <w:bCs w:val="0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一个回邮单。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如下图。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3515" cy="2314575"/>
            <wp:effectExtent l="0" t="0" r="13335" b="9525"/>
            <wp:docPr id="51" name="图片 51" descr="4d8426f7667eb03ffb62d7211b7c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4d8426f7667eb03ffb62d7211b7c97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面单打印或贴单问题（详细说明见附件1）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说明：面单打印不清楚、打印不全、打印比例不对等，贴单错误(没有帖包裹最大面, 帖单太靠边, 帖到两个面, 条码被覆盖 还有其他条码等)，会有额外收费。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正确如下图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1968500" cy="1479550"/>
            <wp:effectExtent l="0" t="0" r="0" b="6350"/>
            <wp:docPr id="29" name="图片 29" descr="a017c41c6f88bdc3c6669de4e5289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a017c41c6f88bdc3c6669de4e5289f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请注意：将标签始终贴在寄送物品的最大面积上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- 标签不得贴在边缘/角落处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- 引导码不得被遮盖或重复打印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yellow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- 公司内部条形码不得贴近引导码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6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其他补费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说明：包括产品重量有差别，DHL复称及人工手续费，补运费差，退件费等，以DHL收费邮件为准。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备注（选填）</w:t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自定义编号（14位以内）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说明：如发货单量多，建议自定义编号，方便仓库核对面单对应到正确的包裹。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163185" cy="1615440"/>
            <wp:effectExtent l="0" t="0" r="5715" b="10160"/>
            <wp:docPr id="4" name="图片 4" descr="7662f525856165a87cb80aef40f4d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62f525856165a87cb80aef40f4d2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63185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4"/>
        </w:numPr>
        <w:ind w:left="0" w:leftChars="0" w:firstLine="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以上填写完成后，点击“确认“按钮，确认面单信息，进行支付。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4360545" cy="2031365"/>
            <wp:effectExtent l="0" t="0" r="8255" b="635"/>
            <wp:docPr id="10" name="图片 10" descr="4e72d3a80d3b32c9f8710a0a36f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e72d3a80d3b32c9f8710a0a36f690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60545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注意：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会员如未支付，无法拉取单号，没有面单生成。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查询单号的时候，后面会显示“支付”选项，可以单独支付某一单。支付过后，“支付”显示自动消失。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4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修改面单信息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说明：拉取单号以前，可以输入订单号或自定义单号，查找到对应单子，点击后面的“详情”，进行“修改”信息。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highlight w:val="yellow"/>
          <w:lang w:val="en-US" w:eastAsia="zh-CN"/>
        </w:rPr>
        <w:t>注意：拉取单号以后，不能再修改信息了。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1770" cy="1562100"/>
            <wp:effectExtent l="0" t="0" r="11430" b="0"/>
            <wp:docPr id="11" name="图片 11" descr="3b3ef33adeaf0bf7406cc6a959d29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b3ef33adeaf0bf7406cc6a959d29f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7960" cy="3540760"/>
            <wp:effectExtent l="0" t="0" r="2540" b="2540"/>
            <wp:docPr id="12" name="图片 12" descr="d8b92e5b42a34e61fb2b3d0d440a6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d8b92e5b42a34e61fb2b3d0d440a6bb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4"/>
        </w:numPr>
        <w:ind w:left="0" w:leftChars="0" w:firstLine="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拉取单号，导出面单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说明：勾选单号，点击右上角“拉取包裹单并导出面单”——“确定拉取包裹单”或“使用强制拉单获取包裹单”。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6690" cy="1530985"/>
            <wp:effectExtent l="0" t="0" r="3810" b="5715"/>
            <wp:docPr id="13" name="图片 13" descr="130fa206f53c48509970812a4e741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30fa206f53c48509970812a4e741cc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3879850" cy="3308350"/>
            <wp:effectExtent l="0" t="0" r="6350" b="6350"/>
            <wp:docPr id="14" name="图片 14" descr="c16f2c30858f5337bf9bb1e97b2d7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16f2c30858f5337bf9bb1e97b2d7d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7985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4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选择导出格式PFD或ZIP，拉单完成。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9230" cy="1890395"/>
            <wp:effectExtent l="0" t="0" r="1270" b="1905"/>
            <wp:docPr id="15" name="图片 15" descr="a29b12cbc276141e6818e4bae3d26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a29b12cbc276141e6818e4bae3d268a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3"/>
        </w:numPr>
        <w:bidi w:val="0"/>
        <w:outlineLvl w:val="1"/>
        <w:rPr>
          <w:rFonts w:hint="default"/>
          <w:sz w:val="28"/>
          <w:szCs w:val="28"/>
          <w:lang w:val="en-US" w:eastAsia="zh-CN"/>
        </w:rPr>
      </w:pPr>
      <w:bookmarkStart w:id="22" w:name="_Toc31290"/>
      <w:bookmarkStart w:id="23" w:name="_Toc32098"/>
      <w:bookmarkStart w:id="24" w:name="_Toc11102"/>
      <w:r>
        <w:rPr>
          <w:rFonts w:hint="eastAsia"/>
          <w:sz w:val="28"/>
          <w:szCs w:val="28"/>
          <w:lang w:val="en-US" w:eastAsia="zh-CN"/>
        </w:rPr>
        <w:t>批量拉单</w:t>
      </w:r>
      <w:bookmarkEnd w:id="22"/>
      <w:bookmarkEnd w:id="23"/>
      <w:bookmarkEnd w:id="24"/>
      <w:r>
        <w:rPr>
          <w:rFonts w:hint="eastAsia"/>
          <w:sz w:val="28"/>
          <w:szCs w:val="28"/>
          <w:lang w:val="en-US" w:eastAsia="zh-CN"/>
        </w:rPr>
        <w:t>(详见《批量导入出单教程》）</w:t>
      </w:r>
    </w:p>
    <w:p>
      <w:pPr>
        <w:bidi w:val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A、——使用“EXCEL导入运单”模式。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4310" cy="826770"/>
            <wp:effectExtent l="0" t="0" r="8890" b="11430"/>
            <wp:docPr id="16" name="图片 16" descr="5875366819c68a054f24b9ca44a86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5875366819c68a054f24b9ca44a86cb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下载“包裹单批量下单模板”表，按文件要求填写正确。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6690" cy="2347595"/>
            <wp:effectExtent l="0" t="0" r="3810" b="1905"/>
            <wp:docPr id="18" name="图片 18" descr="745c85211df033acc917717a8bb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745c85211df033acc917717a8bb788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7960" cy="2116455"/>
            <wp:effectExtent l="0" t="0" r="2540" b="4445"/>
            <wp:docPr id="17" name="图片 17" descr="cb9b32d102e2b850fffa3bd03578b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b9b32d102e2b850fffa3bd03578b7f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下载“自定义表头”。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说明：可根据自己的原表格，逐项更改对应“包裹单指下单模板”的表头，保存定制表格，并导出自定义表头的批量表格模板，按文件要求填写正确。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4150" cy="2622550"/>
            <wp:effectExtent l="0" t="0" r="6350" b="6350"/>
            <wp:docPr id="19" name="图片 19" descr="ad7a91363bdce38eb6f9da86d7018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d7a91363bdce38eb6f9da86d7018cc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表格内容填好后，选择文件，确定提交。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4310" cy="1372870"/>
            <wp:effectExtent l="0" t="0" r="8890" b="11430"/>
            <wp:docPr id="20" name="图片 20" descr="846ddfc0665b6247d727ffbd43e6a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846ddfc0665b6247d727ffbd43e6abd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4)返回“我的包裹单”首页，勾选需要拉单的单号，点击“拉取单号并导出面单”。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6690" cy="1530985"/>
            <wp:effectExtent l="0" t="0" r="3810" b="5715"/>
            <wp:docPr id="21" name="图片 21" descr="130fa206f53c48509970812a4e741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30fa206f53c48509970812a4e741cc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8"/>
        </w:numPr>
        <w:ind w:left="0" w:leftChars="0" w:firstLine="0" w:firstLine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批量拉单完成。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9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—— 使用DHL统一提单CSV文件出单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val="en-US" w:eastAsia="zh-CN"/>
        </w:rPr>
        <w:t>）</w:t>
      </w:r>
      <w:r>
        <w:rPr>
          <w:rFonts w:hint="default"/>
          <w:sz w:val="28"/>
          <w:szCs w:val="28"/>
          <w:lang w:val="en-US" w:eastAsia="zh-CN"/>
        </w:rPr>
        <w:t>进入前台——点 我的包裹单——点 EXCEL导入运单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4400550" cy="2260600"/>
            <wp:effectExtent l="0" t="0" r="6350" b="0"/>
            <wp:docPr id="35" name="图片 35" descr="ea1ca71f91a31f54607b097cdf437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ea1ca71f91a31f54607b097cdf4371f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下拉菜单选择 “使用DHL提单文件”，选择文件——打开。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171950" cy="2343150"/>
            <wp:effectExtent l="0" t="0" r="6350" b="6350"/>
            <wp:docPr id="44" name="图片 44" descr="4952cd6c7d830a28c6f3b0ce3c659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4952cd6c7d830a28c6f3b0ce3c659a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1135" cy="687705"/>
            <wp:effectExtent l="0" t="0" r="12065" b="10795"/>
            <wp:docPr id="45" name="图片 45" descr="3419b800b46b769516ba19fb3d56b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3419b800b46b769516ba19fb3d56b9d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罗列出表格中的信息分类。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9230" cy="1795780"/>
            <wp:effectExtent l="0" t="0" r="1270" b="7620"/>
            <wp:docPr id="46" name="图片 46" descr="8896210c8b12f68b6bf4ee4ee482c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8896210c8b12f68b6bf4ee4ee482c4b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检查全部信息，</w:t>
      </w:r>
      <w:r>
        <w:rPr>
          <w:rFonts w:hint="default"/>
          <w:sz w:val="28"/>
          <w:szCs w:val="28"/>
          <w:lang w:val="en-US" w:eastAsia="zh-CN"/>
        </w:rPr>
        <w:t>确认提交。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0500" cy="1544320"/>
            <wp:effectExtent l="0" t="0" r="0" b="5080"/>
            <wp:docPr id="47" name="图片 47" descr="42911f04d052f5c10ab1153cde68b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42911f04d052f5c10ab1153cde68b6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所有需要拉单的信息，出现在 首页“我的包裹单”里。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1770" cy="1969770"/>
            <wp:effectExtent l="0" t="0" r="11430" b="11430"/>
            <wp:docPr id="48" name="图片 48" descr="b5c05558dc915224a0116c5b6070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b5c05558dc915224a0116c5b607034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勾选 需要拉取单号的信息，点 右上角的 “拉取单号”“导出面单”。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1135" cy="1849120"/>
            <wp:effectExtent l="0" t="0" r="12065" b="5080"/>
            <wp:docPr id="49" name="图片 49" descr="71402682efa3300eababa27bc94d1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71402682efa3300eababa27bc94d1d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出单完成。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1"/>
        </w:numPr>
        <w:bidi w:val="0"/>
        <w:rPr>
          <w:rFonts w:hint="default"/>
          <w:sz w:val="28"/>
          <w:szCs w:val="28"/>
          <w:lang w:val="en-US" w:eastAsia="zh-CN"/>
        </w:rPr>
      </w:pPr>
      <w:bookmarkStart w:id="25" w:name="_Toc29223"/>
      <w:bookmarkStart w:id="26" w:name="_Toc12231"/>
      <w:bookmarkStart w:id="27" w:name="_Toc12823"/>
      <w:r>
        <w:rPr>
          <w:rFonts w:hint="eastAsia"/>
          <w:sz w:val="28"/>
          <w:szCs w:val="28"/>
          <w:lang w:val="en-US" w:eastAsia="zh-CN"/>
        </w:rPr>
        <w:t>FBA地址添加申请</w:t>
      </w:r>
      <w:bookmarkEnd w:id="25"/>
      <w:bookmarkEnd w:id="26"/>
      <w:bookmarkEnd w:id="27"/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说明：如FBA地址薄里没有需要的地址，请先联系工作人员核对，如确认新地址，请在此处申请添加。</w:t>
      </w:r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请注意：只有德国分为FBA价格和非FBA价格。所以申请FBA地址只有德国境内。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8595" cy="1317625"/>
            <wp:effectExtent l="0" t="0" r="1905" b="3175"/>
            <wp:docPr id="22" name="图片 22" descr="23f39dce2c1d30f6fa67509cb533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23f39dce2c1d30f6fa67509cb53391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点击“申请添加FBA地址”。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2819400" cy="2235200"/>
            <wp:effectExtent l="0" t="0" r="0" b="0"/>
            <wp:docPr id="23" name="图片 23" descr="7f4d10275122e61284ab2872b5ff7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7f4d10275122e61284ab2872b5ff75c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“下载操作模板”，准确填写模板内容。</w:t>
      </w:r>
    </w:p>
    <w:p>
      <w:pPr>
        <w:numPr>
          <w:ilvl w:val="0"/>
          <w:numId w:val="1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填写完成后，“选择文件”，确定提交。</w:t>
      </w:r>
    </w:p>
    <w:p>
      <w:pPr>
        <w:numPr>
          <w:ilvl w:val="0"/>
          <w:numId w:val="1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工作人员核对无误后添加，点击“刷新”，新地址就出现了。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8595" cy="1317625"/>
            <wp:effectExtent l="0" t="0" r="1905" b="3175"/>
            <wp:docPr id="24" name="图片 24" descr="23f39dce2c1d30f6fa67509cb533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23f39dce2c1d30f6fa67509cb53391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outlineLvl w:val="0"/>
        <w:rPr>
          <w:rFonts w:hint="eastAsia"/>
          <w:sz w:val="28"/>
          <w:szCs w:val="28"/>
          <w:lang w:val="en-US" w:eastAsia="zh-CN"/>
        </w:rPr>
      </w:pPr>
      <w:bookmarkStart w:id="28" w:name="_Toc10503"/>
      <w:bookmarkStart w:id="29" w:name="_Toc30179"/>
      <w:bookmarkStart w:id="30" w:name="_Toc24993"/>
      <w:r>
        <w:rPr>
          <w:rFonts w:hint="eastAsia"/>
          <w:sz w:val="28"/>
          <w:szCs w:val="28"/>
          <w:lang w:val="en-US" w:eastAsia="zh-CN"/>
        </w:rPr>
        <w:t>帐户管理</w:t>
      </w:r>
      <w:bookmarkEnd w:id="28"/>
      <w:bookmarkEnd w:id="29"/>
      <w:bookmarkEnd w:id="30"/>
    </w:p>
    <w:p>
      <w:pPr>
        <w:pStyle w:val="2"/>
        <w:numPr>
          <w:ilvl w:val="0"/>
          <w:numId w:val="11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31" w:name="_Toc25688"/>
      <w:bookmarkStart w:id="32" w:name="_Toc29795"/>
      <w:bookmarkStart w:id="33" w:name="_Toc2193"/>
      <w:r>
        <w:rPr>
          <w:rFonts w:hint="eastAsia"/>
          <w:sz w:val="28"/>
          <w:szCs w:val="28"/>
          <w:lang w:val="en-US" w:eastAsia="zh-CN"/>
        </w:rPr>
        <w:t>账户信息</w:t>
      </w:r>
      <w:bookmarkEnd w:id="31"/>
      <w:bookmarkEnd w:id="32"/>
      <w:bookmarkEnd w:id="33"/>
    </w:p>
    <w:p>
      <w:pPr>
        <w:numPr>
          <w:ilvl w:val="0"/>
          <w:numId w:val="12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基础信息，注册时填写。</w:t>
      </w:r>
    </w:p>
    <w:p>
      <w:pPr>
        <w:numPr>
          <w:ilvl w:val="0"/>
          <w:numId w:val="1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收款银行帐户。此项为“货到付款”业务必填项。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2405" cy="2555240"/>
            <wp:effectExtent l="0" t="0" r="10795" b="10160"/>
            <wp:docPr id="25" name="图片 25" descr="29a0b76d726baa9aa2259c7350fda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9a0b76d726baa9aa2259c7350fdab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11"/>
        </w:numPr>
        <w:bidi w:val="0"/>
        <w:outlineLvl w:val="1"/>
        <w:rPr>
          <w:rFonts w:hint="default"/>
          <w:sz w:val="28"/>
          <w:szCs w:val="28"/>
          <w:lang w:val="en-US" w:eastAsia="zh-CN"/>
        </w:rPr>
      </w:pPr>
      <w:bookmarkStart w:id="34" w:name="_Toc30937"/>
      <w:bookmarkStart w:id="35" w:name="_Toc32018"/>
      <w:bookmarkStart w:id="36" w:name="_Toc26158"/>
      <w:r>
        <w:rPr>
          <w:rFonts w:hint="eastAsia"/>
          <w:sz w:val="28"/>
          <w:szCs w:val="28"/>
          <w:lang w:val="en-US" w:eastAsia="zh-CN"/>
        </w:rPr>
        <w:t>财务管理</w:t>
      </w:r>
      <w:bookmarkEnd w:id="34"/>
      <w:bookmarkEnd w:id="35"/>
      <w:bookmarkEnd w:id="36"/>
      <w:r>
        <w:rPr>
          <w:rFonts w:hint="eastAsia"/>
          <w:sz w:val="28"/>
          <w:szCs w:val="28"/>
          <w:lang w:val="en-US" w:eastAsia="zh-CN"/>
        </w:rPr>
        <w:t xml:space="preserve"> 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说明：可自行充值及查询充值、扣款明细。</w:t>
      </w:r>
    </w:p>
    <w:p>
      <w:pPr>
        <w:pStyle w:val="2"/>
        <w:numPr>
          <w:ilvl w:val="0"/>
          <w:numId w:val="11"/>
        </w:numPr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37" w:name="_Toc1436"/>
      <w:bookmarkStart w:id="38" w:name="_Toc2683"/>
      <w:bookmarkStart w:id="39" w:name="_Toc21558"/>
      <w:r>
        <w:rPr>
          <w:rFonts w:hint="eastAsia"/>
          <w:sz w:val="28"/>
          <w:szCs w:val="28"/>
          <w:lang w:val="en-US" w:eastAsia="zh-CN"/>
        </w:rPr>
        <w:t>寄件人管理、收件人管理</w:t>
      </w:r>
      <w:bookmarkEnd w:id="37"/>
      <w:bookmarkEnd w:id="38"/>
      <w:bookmarkEnd w:id="39"/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说明：可自行增减寄件人及收件人信息。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outlineLvl w:val="0"/>
        <w:rPr>
          <w:rFonts w:hint="eastAsia"/>
          <w:sz w:val="28"/>
          <w:szCs w:val="28"/>
          <w:lang w:val="en-US" w:eastAsia="zh-CN"/>
        </w:rPr>
      </w:pPr>
      <w:bookmarkStart w:id="40" w:name="_Toc11222"/>
      <w:bookmarkStart w:id="41" w:name="_Toc27411"/>
      <w:bookmarkStart w:id="42" w:name="_Toc7048"/>
      <w:r>
        <w:rPr>
          <w:rFonts w:hint="eastAsia"/>
          <w:sz w:val="28"/>
          <w:szCs w:val="28"/>
          <w:lang w:val="en-US" w:eastAsia="zh-CN"/>
        </w:rPr>
        <w:t>FBA地址薄</w:t>
      </w:r>
      <w:bookmarkEnd w:id="40"/>
      <w:bookmarkEnd w:id="41"/>
      <w:bookmarkEnd w:id="42"/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说明：此处可查询目前FBA的所有地址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outlineLvl w:val="0"/>
        <w:rPr>
          <w:rFonts w:hint="eastAsia"/>
          <w:sz w:val="28"/>
          <w:szCs w:val="28"/>
          <w:lang w:val="en-US" w:eastAsia="zh-CN"/>
        </w:rPr>
      </w:pPr>
      <w:bookmarkStart w:id="43" w:name="_Toc14831"/>
      <w:bookmarkStart w:id="44" w:name="_Toc16915"/>
      <w:bookmarkStart w:id="45" w:name="_Toc26134"/>
      <w:r>
        <w:rPr>
          <w:rFonts w:hint="eastAsia"/>
          <w:sz w:val="28"/>
          <w:szCs w:val="28"/>
          <w:lang w:val="en-US" w:eastAsia="zh-CN"/>
        </w:rPr>
        <w:t>定价表</w:t>
      </w:r>
      <w:bookmarkEnd w:id="43"/>
      <w:bookmarkEnd w:id="44"/>
      <w:bookmarkEnd w:id="45"/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说明：此处可查询DHL全球寄的所有价格。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1135" cy="2922905"/>
            <wp:effectExtent l="0" t="0" r="12065" b="10795"/>
            <wp:docPr id="26" name="图片 26" descr="10ae41085a9ae439bcb9175672647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0ae41085a9ae439bcb91756726473c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2405" cy="4245610"/>
            <wp:effectExtent l="0" t="0" r="10795" b="8890"/>
            <wp:docPr id="27" name="图片 27" descr="60b51b6ddbf044452fcd4e2a3a9d7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60b51b6ddbf044452fcd4e2a3a9d78b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outlineLvl w:val="0"/>
        <w:rPr>
          <w:rFonts w:hint="eastAsia"/>
          <w:sz w:val="28"/>
          <w:szCs w:val="28"/>
          <w:lang w:val="en-US" w:eastAsia="zh-CN"/>
        </w:rPr>
      </w:pPr>
      <w:bookmarkStart w:id="46" w:name="_Toc8794"/>
      <w:bookmarkStart w:id="47" w:name="_Toc20646"/>
      <w:bookmarkStart w:id="48" w:name="_Toc26366"/>
      <w:r>
        <w:rPr>
          <w:rFonts w:hint="eastAsia"/>
          <w:sz w:val="28"/>
          <w:szCs w:val="28"/>
          <w:lang w:val="en-US" w:eastAsia="zh-CN"/>
        </w:rPr>
        <w:t>地区分类表</w:t>
      </w:r>
      <w:bookmarkEnd w:id="46"/>
      <w:bookmarkEnd w:id="47"/>
      <w:bookmarkEnd w:id="48"/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说明：此表对应第六项的“定价表”中的“地区分类”明细，可先在此表中查找到目的地国家对应的地区分类标识，再到“定价表”中找到对应的报价。如在此表中未查到国家，请联系工作人员添加。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0500" cy="1839595"/>
            <wp:effectExtent l="0" t="0" r="0" b="1905"/>
            <wp:docPr id="28" name="图片 28" descr="9e296b7c23729bf26515be15763ab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9e296b7c23729bf26515be15763ab7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</w:p>
    <w:p>
      <w:pPr>
        <w:pStyle w:val="2"/>
        <w:bidi w:val="0"/>
        <w:outlineLvl w:val="1"/>
        <w:rPr>
          <w:rFonts w:hint="eastAsia"/>
          <w:sz w:val="28"/>
          <w:szCs w:val="28"/>
          <w:lang w:val="en-US" w:eastAsia="zh-CN"/>
        </w:rPr>
      </w:pPr>
      <w:bookmarkStart w:id="49" w:name="_Toc17519"/>
      <w:bookmarkStart w:id="50" w:name="_Toc13670"/>
      <w:bookmarkStart w:id="51" w:name="_Toc9402"/>
      <w:r>
        <w:rPr>
          <w:rFonts w:hint="eastAsia"/>
          <w:sz w:val="28"/>
          <w:szCs w:val="28"/>
          <w:lang w:val="en-US" w:eastAsia="zh-CN"/>
        </w:rPr>
        <w:t>附件1：关于标签的说明</w:t>
      </w:r>
      <w:bookmarkEnd w:id="49"/>
      <w:bookmarkEnd w:id="50"/>
      <w:bookmarkEnd w:id="51"/>
    </w:p>
    <w:p>
      <w:pPr>
        <w:numPr>
          <w:ilvl w:val="0"/>
          <w:numId w:val="13"/>
        </w:numPr>
        <w:outlineLvl w:val="0"/>
        <w:rPr>
          <w:rFonts w:hint="eastAsia"/>
          <w:sz w:val="28"/>
          <w:szCs w:val="28"/>
          <w:lang w:val="en-US" w:eastAsia="zh-CN"/>
        </w:rPr>
      </w:pPr>
      <w:bookmarkStart w:id="52" w:name="_Toc18955"/>
      <w:bookmarkStart w:id="53" w:name="_Toc10673"/>
      <w:bookmarkStart w:id="54" w:name="_Toc21990"/>
      <w:r>
        <w:rPr>
          <w:rFonts w:hint="eastAsia"/>
          <w:sz w:val="28"/>
          <w:szCs w:val="28"/>
          <w:lang w:val="en-US" w:eastAsia="zh-CN"/>
        </w:rPr>
        <w:t>标签粘贴</w:t>
      </w:r>
      <w:bookmarkEnd w:id="52"/>
      <w:bookmarkEnd w:id="53"/>
      <w:bookmarkEnd w:id="54"/>
    </w:p>
    <w:p>
      <w:pPr>
        <w:numPr>
          <w:ilvl w:val="0"/>
          <w:numId w:val="0"/>
        </w:numPr>
        <w:outlineLvl w:val="1"/>
        <w:rPr>
          <w:rFonts w:hint="eastAsia"/>
          <w:sz w:val="28"/>
          <w:szCs w:val="28"/>
          <w:lang w:val="en-US" w:eastAsia="zh-CN"/>
        </w:rPr>
      </w:pPr>
      <w:bookmarkStart w:id="55" w:name="_Toc6805"/>
      <w:bookmarkStart w:id="56" w:name="_Toc16409"/>
      <w:r>
        <w:rPr>
          <w:rFonts w:hint="eastAsia"/>
          <w:sz w:val="28"/>
          <w:szCs w:val="28"/>
          <w:lang w:val="en-US" w:eastAsia="zh-CN"/>
        </w:rPr>
        <w:t>1、提示：</w:t>
      </w:r>
      <w:bookmarkEnd w:id="55"/>
      <w:bookmarkEnd w:id="56"/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为确保可靠的机器可读性并避免引导编码费用，请始终选择适合您所寄送物品的标签尺寸，使标签始终能够完全覆盖物品的最大面积。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如果没有或者引导码不正确，DHL将产生额外的手续费用，我们必须计算一笔费用。</w:t>
      </w:r>
    </w:p>
    <w:p>
      <w:pPr>
        <w:numPr>
          <w:ilvl w:val="0"/>
          <w:numId w:val="0"/>
        </w:numPr>
        <w:outlineLvl w:val="1"/>
        <w:rPr>
          <w:rFonts w:hint="eastAsia"/>
          <w:sz w:val="28"/>
          <w:szCs w:val="28"/>
          <w:highlight w:val="none"/>
          <w:lang w:val="en-US" w:eastAsia="zh-CN"/>
        </w:rPr>
      </w:pPr>
      <w:bookmarkStart w:id="57" w:name="_Toc22943"/>
      <w:bookmarkStart w:id="58" w:name="_Toc13966"/>
      <w:r>
        <w:rPr>
          <w:rFonts w:hint="eastAsia"/>
          <w:sz w:val="28"/>
          <w:szCs w:val="28"/>
          <w:highlight w:val="none"/>
          <w:lang w:val="en-US" w:eastAsia="zh-CN"/>
        </w:rPr>
        <w:t>2、请注意：</w:t>
      </w:r>
      <w:bookmarkEnd w:id="57"/>
      <w:bookmarkEnd w:id="58"/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将标签始终贴在寄送物品的最大面积上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- 标签不得贴在边缘/角落处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- 引导码不得被遮盖或重复打印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- 公司内部条形码不得贴近引导码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正确如下图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1968500" cy="1479550"/>
            <wp:effectExtent l="0" t="0" r="0" b="6350"/>
            <wp:docPr id="30" name="图片 30" descr="a017c41c6f88bdc3c6669de4e5289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a017c41c6f88bdc3c6669de4e5289f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标签错误粘贴在包裹上的详细例子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5"/>
        <w:gridCol w:w="4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4245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标签贴错位置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标签不能（1）贴在包裹前面或（2）跨越边缘。否则，标签无法被机器读取。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请将标签始终贴在包裹最大的表面上。</w:t>
            </w:r>
          </w:p>
        </w:tc>
        <w:tc>
          <w:tcPr>
            <w:tcW w:w="4274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2567940" cy="632460"/>
                  <wp:effectExtent l="0" t="0" r="10160" b="2540"/>
                  <wp:docPr id="31" name="图片 31" descr="175c09596de725c9d69f166254dce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175c09596de725c9d69f166254dce1c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4245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标签贴错方式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标签不能贴在褶皱或波浪状的表面上，否则标签无法被机器读取。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请将标签始终完全贴在平坦的表面上。</w:t>
            </w:r>
          </w:p>
        </w:tc>
        <w:tc>
          <w:tcPr>
            <w:tcW w:w="4274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670050" cy="736600"/>
                  <wp:effectExtent l="0" t="0" r="6350" b="0"/>
                  <wp:docPr id="32" name="图片 32" descr="f1db3252aabce5de5af147c0b7576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 descr="f1db3252aabce5de5af147c0b7576eb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0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4245" w:type="dxa"/>
          </w:tcPr>
          <w:p>
            <w:p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标签被部分遮挡</w:t>
            </w:r>
          </w:p>
          <w:p>
            <w:p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标签不能被（1）胶带或（2）捆绑材料遮挡。否则，标签无法被机器读取。</w:t>
            </w:r>
          </w:p>
          <w:p>
            <w:pPr>
              <w:jc w:val="left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请始终无遮挡地在包裹上贴上标签。</w:t>
            </w:r>
          </w:p>
        </w:tc>
        <w:tc>
          <w:tcPr>
            <w:tcW w:w="4274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2557145" cy="731520"/>
                  <wp:effectExtent l="0" t="0" r="8255" b="5080"/>
                  <wp:docPr id="33" name="图片 33" descr="76b043368aa3ec4df9fbecfe06122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76b043368aa3ec4df9fbecfe06122cc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14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</w:trPr>
        <w:tc>
          <w:tcPr>
            <w:tcW w:w="4245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反光邮寄袋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标签的邮寄袋不能反光。标签无法通过反光邮寄袋被机器读取。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请不要使用反光邮寄袋来贴标签。</w:t>
            </w:r>
          </w:p>
        </w:tc>
        <w:tc>
          <w:tcPr>
            <w:tcW w:w="4274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384300" cy="819150"/>
                  <wp:effectExtent l="0" t="0" r="0" b="6350"/>
                  <wp:docPr id="34" name="图片 34" descr="03b40f340bf5ea65c6f8b99e4788b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03b40f340bf5ea65c6f8b99e4788b7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3"/>
        </w:numPr>
        <w:ind w:left="0" w:leftChars="0" w:firstLine="0" w:firstLineChars="0"/>
        <w:outlineLvl w:val="0"/>
        <w:rPr>
          <w:rFonts w:hint="eastAsia"/>
          <w:sz w:val="28"/>
          <w:szCs w:val="28"/>
          <w:lang w:val="en-US" w:eastAsia="zh-CN"/>
        </w:rPr>
      </w:pPr>
      <w:bookmarkStart w:id="59" w:name="_Toc26996"/>
      <w:bookmarkStart w:id="60" w:name="_Toc19120"/>
      <w:bookmarkStart w:id="61" w:name="_Toc19540"/>
      <w:r>
        <w:rPr>
          <w:rFonts w:hint="eastAsia"/>
          <w:sz w:val="28"/>
          <w:szCs w:val="28"/>
          <w:lang w:val="en-US" w:eastAsia="zh-CN"/>
        </w:rPr>
        <w:t>标签制作</w:t>
      </w:r>
      <w:bookmarkEnd w:id="59"/>
      <w:bookmarkEnd w:id="60"/>
      <w:bookmarkEnd w:id="61"/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标签制作错误的详细例子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5"/>
        <w:gridCol w:w="2296"/>
        <w:gridCol w:w="1985"/>
        <w:gridCol w:w="2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地址栏大小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地址栏不能太小。此外，标签的大小和形状的比例尺不能更改。否则标签无法被机器读取。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sz w:val="28"/>
                <w:szCs w:val="28"/>
                <w:vertAlign w:val="baseline"/>
                <w:lang w:val="en-US" w:eastAsia="zh-CN"/>
              </w:rPr>
              <w:t>请确保地址栏和条形码的大小正确，并填充邮寄标签模板的整个区域。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320800" cy="3124200"/>
                  <wp:effectExtent l="0" t="0" r="0" b="0"/>
                  <wp:docPr id="36" name="图片 36" descr="943bc62d890db4c0e5029f063f41f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943bc62d890db4c0e5029f063f41f44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312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1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条形码缺少空白区域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条形码的空白区域不能被破坏。与标签边缘的距离必须至少为5毫米，与相邻的条形码的距离必须为7毫米（左右）或3毫米（上下）。否则，条形码无法被机器读取。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sz w:val="28"/>
                <w:szCs w:val="28"/>
                <w:vertAlign w:val="baseline"/>
                <w:lang w:val="en-US" w:eastAsia="zh-CN"/>
              </w:rPr>
              <w:t>请确保在所有条形码的四周保留足够的空白区域。</w:t>
            </w:r>
          </w:p>
        </w:tc>
        <w:tc>
          <w:tcPr>
            <w:tcW w:w="2131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320165" cy="3048635"/>
                  <wp:effectExtent l="0" t="0" r="635" b="12065"/>
                  <wp:docPr id="37" name="图片 37" descr="4215def707426510215a708ff12ad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4215def707426510215a708ff12ad27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304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打印质量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标签不能有打印错误。否则，标签无法被机器读取。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请注意标签具有良好的印刷质量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087755" cy="1990090"/>
                  <wp:effectExtent l="0" t="0" r="4445" b="3810"/>
                  <wp:docPr id="38" name="图片 38" descr="e45d4257af19553ea5005fac6eb08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 descr="e45d4257af19553ea5005fac6eb084b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1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标签不得有任何打印中断。否则，标签上的条形码将无法被机器读取。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请确保标签没有任何错误并且是连续打印的。</w:t>
            </w:r>
          </w:p>
        </w:tc>
        <w:tc>
          <w:tcPr>
            <w:tcW w:w="2131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113790" cy="2030730"/>
                  <wp:effectExtent l="0" t="0" r="3810" b="1270"/>
                  <wp:docPr id="39" name="图片 39" descr="6e19f9fcbd40bf648a6eb1ef5273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6e19f9fcbd40bf648a6eb1ef5273992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90" cy="203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有关制作不良标签的详细示例。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5"/>
        <w:gridCol w:w="2136"/>
        <w:gridCol w:w="2125"/>
        <w:gridCol w:w="21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缺少标识符：运输标签必须包含两个条形码，第二个条形码表示标识符。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如果没有标识符，则无法处理该批货物。请确保标识符包含在地址编码中。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215390" cy="2230120"/>
                  <wp:effectExtent l="0" t="0" r="3810" b="5080"/>
                  <wp:docPr id="40" name="图片 40" descr="cb2f81d79e69413a9a875225d4c8b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 descr="cb2f81d79e69413a9a875225d4c8bdd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390" cy="223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 xml:space="preserve"> 缺少地址编码：运输标签必须包含两个条形码，第一个条形码表示地址编码。如果没有地址编码，则无法处理该批货物。</w:t>
            </w: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请确保地址编码包含在地址编码中。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214120" cy="2200275"/>
                  <wp:effectExtent l="0" t="0" r="5080" b="9525"/>
                  <wp:docPr id="41" name="图片 41" descr="25598c84b91a0bafc60f5d8a275b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25598c84b91a0bafc60f5d8a275b866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220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>地址编码不完整：地址编码必须完全包含标识符和地址编码 - 两个条形码。否则，该批货物将无法处理。请确保标识符和地址编码完全打印。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212215" cy="2252345"/>
                  <wp:effectExtent l="0" t="0" r="6985" b="8255"/>
                  <wp:docPr id="42" name="图片 42" descr="4be7ca993d3ea364b10cbda745058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4be7ca993d3ea364b10cbda7450586e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225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t xml:space="preserve"> 地址编码中的目标地址错误：该批货物的目标地址必须在地址编码中完全且无误地编写和编码。否则，该批货物将无法处理。请确保目标地址已正确并完全地编码在地址编码中。</w:t>
            </w:r>
          </w:p>
        </w:tc>
        <w:tc>
          <w:tcPr>
            <w:tcW w:w="2130" w:type="dxa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210945" cy="2244090"/>
                  <wp:effectExtent l="0" t="0" r="8255" b="3810"/>
                  <wp:docPr id="43" name="图片 43" descr="b74343b92edc2c474c962564ece350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b74343b92edc2c474c962564ece350f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94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0" name="文本框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Dp+ypg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/>
      <w:keepLines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480" w:lineRule="exact"/>
      <w:textAlignment w:val="auto"/>
    </w:pPr>
    <w:r>
      <w:rPr>
        <w:rFonts w:hint="eastAsia" w:ascii="宋体" w:hAnsi="宋体" w:eastAsia="宋体" w:cs="宋体"/>
        <w:sz w:val="28"/>
        <w:szCs w:val="28"/>
        <w:lang w:val="en-US" w:eastAsia="zh-CN"/>
      </w:rPr>
      <w:t>面单系统前台使用说明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8E65BF"/>
    <w:multiLevelType w:val="singleLevel"/>
    <w:tmpl w:val="8C8E65BF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9672751A"/>
    <w:multiLevelType w:val="singleLevel"/>
    <w:tmpl w:val="9672751A"/>
    <w:lvl w:ilvl="0" w:tentative="0">
      <w:start w:val="2"/>
      <w:numFmt w:val="upperLetter"/>
      <w:suff w:val="nothing"/>
      <w:lvlText w:val="%1、"/>
      <w:lvlJc w:val="left"/>
    </w:lvl>
  </w:abstractNum>
  <w:abstractNum w:abstractNumId="2">
    <w:nsid w:val="9CF78C06"/>
    <w:multiLevelType w:val="singleLevel"/>
    <w:tmpl w:val="9CF78C06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9F265F19"/>
    <w:multiLevelType w:val="singleLevel"/>
    <w:tmpl w:val="9F265F19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D0BE5F7B"/>
    <w:multiLevelType w:val="singleLevel"/>
    <w:tmpl w:val="D0BE5F7B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E2890199"/>
    <w:multiLevelType w:val="singleLevel"/>
    <w:tmpl w:val="E2890199"/>
    <w:lvl w:ilvl="0" w:tentative="0">
      <w:start w:val="1"/>
      <w:numFmt w:val="decimal"/>
      <w:suff w:val="nothing"/>
      <w:lvlText w:val="%1）"/>
      <w:lvlJc w:val="left"/>
    </w:lvl>
  </w:abstractNum>
  <w:abstractNum w:abstractNumId="6">
    <w:nsid w:val="FC23AE4F"/>
    <w:multiLevelType w:val="singleLevel"/>
    <w:tmpl w:val="FC23AE4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0AD51A95"/>
    <w:multiLevelType w:val="singleLevel"/>
    <w:tmpl w:val="0AD51A95"/>
    <w:lvl w:ilvl="0" w:tentative="0">
      <w:start w:val="1"/>
      <w:numFmt w:val="lowerLetter"/>
      <w:suff w:val="nothing"/>
      <w:lvlText w:val="%1、"/>
      <w:lvlJc w:val="left"/>
    </w:lvl>
  </w:abstractNum>
  <w:abstractNum w:abstractNumId="8">
    <w:nsid w:val="111C0828"/>
    <w:multiLevelType w:val="singleLevel"/>
    <w:tmpl w:val="111C0828"/>
    <w:lvl w:ilvl="0" w:tentative="0">
      <w:start w:val="1"/>
      <w:numFmt w:val="lowerLetter"/>
      <w:suff w:val="nothing"/>
      <w:lvlText w:val="%1、"/>
      <w:lvlJc w:val="left"/>
    </w:lvl>
  </w:abstractNum>
  <w:abstractNum w:abstractNumId="9">
    <w:nsid w:val="1FCF19A4"/>
    <w:multiLevelType w:val="singleLevel"/>
    <w:tmpl w:val="1FCF19A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441DA4B2"/>
    <w:multiLevelType w:val="singleLevel"/>
    <w:tmpl w:val="441DA4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1">
    <w:nsid w:val="5813B538"/>
    <w:multiLevelType w:val="singleLevel"/>
    <w:tmpl w:val="5813B538"/>
    <w:lvl w:ilvl="0" w:tentative="0">
      <w:start w:val="2"/>
      <w:numFmt w:val="decimal"/>
      <w:suff w:val="nothing"/>
      <w:lvlText w:val="%1）"/>
      <w:lvlJc w:val="left"/>
    </w:lvl>
  </w:abstractNum>
  <w:abstractNum w:abstractNumId="12">
    <w:nsid w:val="62EBB658"/>
    <w:multiLevelType w:val="singleLevel"/>
    <w:tmpl w:val="62EBB65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11"/>
  </w:num>
  <w:num w:numId="9">
    <w:abstractNumId w:val="1"/>
  </w:num>
  <w:num w:numId="10">
    <w:abstractNumId w:val="3"/>
  </w:num>
  <w:num w:numId="11">
    <w:abstractNumId w:val="9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4OTBiMWM2NmU2NWEzMjc0MDA3MDVmNWExZGNjNWQifQ=="/>
  </w:docVars>
  <w:rsids>
    <w:rsidRoot w:val="00172A27"/>
    <w:rsid w:val="00133387"/>
    <w:rsid w:val="01115B19"/>
    <w:rsid w:val="015B4A06"/>
    <w:rsid w:val="01D46A30"/>
    <w:rsid w:val="026B1259"/>
    <w:rsid w:val="02B7380B"/>
    <w:rsid w:val="0449381C"/>
    <w:rsid w:val="04651CD8"/>
    <w:rsid w:val="04874344"/>
    <w:rsid w:val="077F0749"/>
    <w:rsid w:val="08206641"/>
    <w:rsid w:val="085B51B1"/>
    <w:rsid w:val="08A11DA0"/>
    <w:rsid w:val="093F0D49"/>
    <w:rsid w:val="0A0501E5"/>
    <w:rsid w:val="0A6A2C00"/>
    <w:rsid w:val="0A764C3F"/>
    <w:rsid w:val="0B955598"/>
    <w:rsid w:val="0C197F77"/>
    <w:rsid w:val="0C9848D4"/>
    <w:rsid w:val="0E341099"/>
    <w:rsid w:val="0ECE71A3"/>
    <w:rsid w:val="0F39623B"/>
    <w:rsid w:val="0F5337A0"/>
    <w:rsid w:val="131D7A0B"/>
    <w:rsid w:val="13516249"/>
    <w:rsid w:val="136C3083"/>
    <w:rsid w:val="186A4292"/>
    <w:rsid w:val="1A165AF6"/>
    <w:rsid w:val="1A187AC0"/>
    <w:rsid w:val="1A332204"/>
    <w:rsid w:val="1A9201A8"/>
    <w:rsid w:val="1D3369BF"/>
    <w:rsid w:val="1D7C677D"/>
    <w:rsid w:val="1F537A7E"/>
    <w:rsid w:val="1F59624F"/>
    <w:rsid w:val="20652B6C"/>
    <w:rsid w:val="22607389"/>
    <w:rsid w:val="22BD7457"/>
    <w:rsid w:val="233D40F4"/>
    <w:rsid w:val="246A3847"/>
    <w:rsid w:val="24B47844"/>
    <w:rsid w:val="25050C41"/>
    <w:rsid w:val="25F80519"/>
    <w:rsid w:val="269E7683"/>
    <w:rsid w:val="272E593D"/>
    <w:rsid w:val="27533EE6"/>
    <w:rsid w:val="27B5694E"/>
    <w:rsid w:val="27BD1CA7"/>
    <w:rsid w:val="284A088B"/>
    <w:rsid w:val="293142E3"/>
    <w:rsid w:val="2B2142FB"/>
    <w:rsid w:val="2BEC2B5B"/>
    <w:rsid w:val="2CAA76C2"/>
    <w:rsid w:val="2CE30B73"/>
    <w:rsid w:val="2CE61358"/>
    <w:rsid w:val="2D236108"/>
    <w:rsid w:val="2D30634A"/>
    <w:rsid w:val="2DE3664A"/>
    <w:rsid w:val="2E0028ED"/>
    <w:rsid w:val="2E0627FD"/>
    <w:rsid w:val="2E55798F"/>
    <w:rsid w:val="2E846F67"/>
    <w:rsid w:val="2F5915C8"/>
    <w:rsid w:val="2FE4544E"/>
    <w:rsid w:val="2FEA115F"/>
    <w:rsid w:val="303625F7"/>
    <w:rsid w:val="32D22AAA"/>
    <w:rsid w:val="3491604D"/>
    <w:rsid w:val="34D128EE"/>
    <w:rsid w:val="35106640"/>
    <w:rsid w:val="3511718E"/>
    <w:rsid w:val="35AD6EB7"/>
    <w:rsid w:val="35AE7724"/>
    <w:rsid w:val="35EA25AC"/>
    <w:rsid w:val="36405715"/>
    <w:rsid w:val="364B5348"/>
    <w:rsid w:val="376D1723"/>
    <w:rsid w:val="37F45271"/>
    <w:rsid w:val="382F44FB"/>
    <w:rsid w:val="391D35E6"/>
    <w:rsid w:val="3AE8273F"/>
    <w:rsid w:val="3C92748C"/>
    <w:rsid w:val="3CB72746"/>
    <w:rsid w:val="3E9E5F37"/>
    <w:rsid w:val="449000D0"/>
    <w:rsid w:val="45C80693"/>
    <w:rsid w:val="46BB14CC"/>
    <w:rsid w:val="4A1E631F"/>
    <w:rsid w:val="4A7F4E6E"/>
    <w:rsid w:val="4AA93411"/>
    <w:rsid w:val="4AF173EE"/>
    <w:rsid w:val="4AF764A2"/>
    <w:rsid w:val="4AFC64BF"/>
    <w:rsid w:val="4B644064"/>
    <w:rsid w:val="4C4D58E6"/>
    <w:rsid w:val="4CCF19B1"/>
    <w:rsid w:val="4F9C007C"/>
    <w:rsid w:val="4FB545DE"/>
    <w:rsid w:val="4FD25A40"/>
    <w:rsid w:val="50AC44E3"/>
    <w:rsid w:val="51321695"/>
    <w:rsid w:val="51A0391C"/>
    <w:rsid w:val="51A258E6"/>
    <w:rsid w:val="530A3743"/>
    <w:rsid w:val="550B5550"/>
    <w:rsid w:val="550F3292"/>
    <w:rsid w:val="55595A2A"/>
    <w:rsid w:val="56BF4844"/>
    <w:rsid w:val="57C33EC0"/>
    <w:rsid w:val="58657C25"/>
    <w:rsid w:val="59486D73"/>
    <w:rsid w:val="5A6C4CE3"/>
    <w:rsid w:val="5A902361"/>
    <w:rsid w:val="5A9717A7"/>
    <w:rsid w:val="5B4F2561"/>
    <w:rsid w:val="5C0827EA"/>
    <w:rsid w:val="5CBF559E"/>
    <w:rsid w:val="5E3E6996"/>
    <w:rsid w:val="5E6A778C"/>
    <w:rsid w:val="5EC44398"/>
    <w:rsid w:val="613805BE"/>
    <w:rsid w:val="61736242"/>
    <w:rsid w:val="6186668A"/>
    <w:rsid w:val="61E2210E"/>
    <w:rsid w:val="637864A7"/>
    <w:rsid w:val="63865587"/>
    <w:rsid w:val="65EA24E7"/>
    <w:rsid w:val="65EE3F8D"/>
    <w:rsid w:val="6605123E"/>
    <w:rsid w:val="662841B4"/>
    <w:rsid w:val="66521231"/>
    <w:rsid w:val="67AC2BC3"/>
    <w:rsid w:val="67B929BB"/>
    <w:rsid w:val="68242759"/>
    <w:rsid w:val="689C2C37"/>
    <w:rsid w:val="68A37B22"/>
    <w:rsid w:val="6B6A6746"/>
    <w:rsid w:val="6C3A254B"/>
    <w:rsid w:val="6C6F67C9"/>
    <w:rsid w:val="6D101133"/>
    <w:rsid w:val="6FD9207B"/>
    <w:rsid w:val="70131A31"/>
    <w:rsid w:val="7036127C"/>
    <w:rsid w:val="72DE7DDB"/>
    <w:rsid w:val="73A62BBC"/>
    <w:rsid w:val="73CA5383"/>
    <w:rsid w:val="75D02172"/>
    <w:rsid w:val="76CC293A"/>
    <w:rsid w:val="77C27899"/>
    <w:rsid w:val="780B13B1"/>
    <w:rsid w:val="7BE372C0"/>
    <w:rsid w:val="7C923CDE"/>
    <w:rsid w:val="7CAA54CB"/>
    <w:rsid w:val="7CEF1130"/>
    <w:rsid w:val="7F0F0BA9"/>
    <w:rsid w:val="7F1728C2"/>
    <w:rsid w:val="7FDF6BF3"/>
    <w:rsid w:val="7FF1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0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6" Type="http://schemas.openxmlformats.org/officeDocument/2006/relationships/fontTable" Target="fontTable.xml"/><Relationship Id="rId55" Type="http://schemas.openxmlformats.org/officeDocument/2006/relationships/numbering" Target="numbering.xml"/><Relationship Id="rId54" Type="http://schemas.openxmlformats.org/officeDocument/2006/relationships/customXml" Target="../customXml/item1.xml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3330</Words>
  <Characters>3471</Characters>
  <Lines>0</Lines>
  <Paragraphs>0</Paragraphs>
  <TotalTime>1</TotalTime>
  <ScaleCrop>false</ScaleCrop>
  <LinksUpToDate>false</LinksUpToDate>
  <CharactersWithSpaces>3578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2023-04-27T02:25:00Z</dcterms:created>
  <dc:creator>ThinkPad</dc:creator>
  <cp:lastModifiedBy>璟滢（菁菁）</cp:lastModifiedBy>
  <dcterms:modified xsi:type="dcterms:W3CDTF">2023-10-23T09:48:34Z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D305F91DC0864F7B9BD26E7D1CA54843_12</vt:lpwstr>
  </property>
</Properties>
</file>